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B6" w:rsidRPr="006831C7" w:rsidRDefault="00156FB6" w:rsidP="00587C12">
      <w:pPr>
        <w:rPr>
          <w:lang w:val="ru-RU"/>
        </w:rPr>
      </w:pPr>
    </w:p>
    <w:p w:rsidR="00587C12" w:rsidRPr="008161B3" w:rsidRDefault="006831C7" w:rsidP="00587C12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87C12" w:rsidRPr="008161B3">
        <w:rPr>
          <w:rFonts w:ascii="Times New Roman" w:hAnsi="Times New Roman"/>
          <w:sz w:val="28"/>
          <w:szCs w:val="28"/>
        </w:rPr>
        <w:t>Додаток 2</w:t>
      </w:r>
      <w:r w:rsidR="00587C12" w:rsidRPr="008161B3">
        <w:rPr>
          <w:rFonts w:ascii="Times New Roman" w:hAnsi="Times New Roman"/>
          <w:sz w:val="28"/>
          <w:szCs w:val="28"/>
        </w:rPr>
        <w:br/>
        <w:t>до Порядку</w:t>
      </w:r>
      <w:r w:rsidR="00587C12"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="00587C12" w:rsidRPr="008161B3">
        <w:rPr>
          <w:rFonts w:ascii="Times New Roman" w:hAnsi="Times New Roman"/>
          <w:sz w:val="28"/>
          <w:szCs w:val="28"/>
        </w:rPr>
        <w:br/>
        <w:t xml:space="preserve">від </w:t>
      </w:r>
      <w:r w:rsidR="00587C12">
        <w:rPr>
          <w:rFonts w:ascii="Times New Roman" w:hAnsi="Times New Roman"/>
          <w:sz w:val="28"/>
          <w:szCs w:val="28"/>
        </w:rPr>
        <w:t xml:space="preserve">23 червня </w:t>
      </w:r>
      <w:r w:rsidR="00587C12" w:rsidRPr="008161B3">
        <w:rPr>
          <w:rFonts w:ascii="Times New Roman" w:hAnsi="Times New Roman"/>
          <w:sz w:val="28"/>
          <w:szCs w:val="28"/>
        </w:rPr>
        <w:t xml:space="preserve">2021 р. № </w:t>
      </w:r>
      <w:r w:rsidR="00587C12">
        <w:rPr>
          <w:rFonts w:ascii="Times New Roman" w:hAnsi="Times New Roman"/>
          <w:sz w:val="28"/>
          <w:szCs w:val="28"/>
        </w:rPr>
        <w:t>681</w:t>
      </w:r>
      <w:r w:rsidR="00587C12"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8161B3">
        <w:rPr>
          <w:rFonts w:ascii="Times New Roman" w:hAnsi="Times New Roman"/>
          <w:b w:val="0"/>
          <w:sz w:val="28"/>
          <w:szCs w:val="28"/>
        </w:rPr>
        <w:t>ДЕКЛАРАЦІЯ</w:t>
      </w:r>
      <w:r w:rsidRPr="008161B3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8161B3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587C12" w:rsidRPr="008161B3" w:rsidTr="00587C12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587C12" w:rsidRPr="008161B3" w:rsidTr="00587C12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. номер ________ від  __.__.20__</w:t>
            </w:r>
          </w:p>
          <w:p w:rsidR="00587C12" w:rsidRPr="008161B3" w:rsidRDefault="00587C12" w:rsidP="00587C12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60763F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587C12" w:rsidRPr="008161B3" w:rsidTr="00587C12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4D296F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документацією та має відображати вид будівництва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587C12" w:rsidRPr="008161B3" w:rsidTr="00587C12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правовстанов-люючого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587C12" w:rsidRPr="008161B3" w:rsidTr="00587C12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lastRenderedPageBreak/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8161B3" w:rsidRDefault="00587C12" w:rsidP="00587C12"/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587C12" w:rsidRPr="008161B3" w:rsidTr="00587C12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Pr="008161B3" w:rsidRDefault="00587C12" w:rsidP="00587C12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:rsidR="00587C12" w:rsidRPr="008161B3" w:rsidRDefault="00587C12" w:rsidP="00587C12">
      <w:pPr>
        <w:pStyle w:val="a3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:rsidR="00587C12" w:rsidRPr="006831C7" w:rsidRDefault="006831C7" w:rsidP="006831C7">
      <w:pPr>
        <w:pStyle w:val="ShapkaDocumentu"/>
        <w:spacing w:before="3000"/>
        <w:ind w:left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6831C7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Постановою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750 від 08.09.2015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880 від 21.10.2015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831C7">
        <w:rPr>
          <w:rStyle w:val="st131"/>
          <w:rFonts w:ascii="Times New Roman" w:hAnsi="Times New Roman"/>
          <w:color w:val="auto"/>
          <w:sz w:val="24"/>
        </w:rPr>
        <w:t>№ 409 від 07.06.2017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831C7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831C7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6831C7">
        <w:rPr>
          <w:rStyle w:val="st46"/>
          <w:rFonts w:ascii="Times New Roman" w:hAnsi="Times New Roman"/>
          <w:color w:val="auto"/>
          <w:sz w:val="24"/>
        </w:rPr>
        <w:t>}</w:t>
      </w:r>
    </w:p>
    <w:sectPr w:rsidR="00587C12" w:rsidRPr="00683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56FB6"/>
    <w:rsid w:val="004C0A8E"/>
    <w:rsid w:val="00587C12"/>
    <w:rsid w:val="006831C7"/>
    <w:rsid w:val="009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B8FA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і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і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831C7"/>
    <w:rPr>
      <w:i/>
      <w:iCs/>
      <w:color w:val="0000FF"/>
    </w:rPr>
  </w:style>
  <w:style w:type="character" w:customStyle="1" w:styleId="st46">
    <w:name w:val="st46"/>
    <w:uiPriority w:val="99"/>
    <w:rsid w:val="006831C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7354</Words>
  <Characters>4192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Веретюк Ольга Іванівна</cp:lastModifiedBy>
  <cp:revision>3</cp:revision>
  <dcterms:created xsi:type="dcterms:W3CDTF">2021-08-02T10:02:00Z</dcterms:created>
  <dcterms:modified xsi:type="dcterms:W3CDTF">2021-08-02T10:04:00Z</dcterms:modified>
</cp:coreProperties>
</file>